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34F29">
      <w:pPr>
        <w:tabs>
          <w:tab w:val="left" w:pos="993"/>
        </w:tabs>
        <w:autoSpaceDE w:val="0"/>
        <w:autoSpaceDN w:val="0"/>
        <w:adjustRightInd w:val="0"/>
        <w:snapToGrid w:val="0"/>
        <w:spacing w:after="0" w:line="440" w:lineRule="exact"/>
        <w:rPr>
          <w:rFonts w:hint="default" w:ascii="Times New Roman" w:hAnsi="Times New Roman" w:cs="Times New Roman"/>
          <w:color w:val="000000"/>
          <w:sz w:val="24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1"/>
          <w:lang w:eastAsia="zh-CN"/>
        </w:rPr>
        <w:t>证券代码：000966</w:t>
      </w:r>
      <w:r>
        <w:rPr>
          <w:rFonts w:hint="default" w:ascii="Times New Roman" w:hAnsi="Times New Roman" w:cs="Times New Roman"/>
          <w:color w:val="000000"/>
          <w:sz w:val="24"/>
          <w:szCs w:val="21"/>
          <w:lang w:eastAsia="zh-CN"/>
        </w:rPr>
        <w:tab/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eastAsia="zh-CN"/>
        </w:rPr>
        <w:t xml:space="preserve">     </w:t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val="en-US" w:eastAsia="zh-CN"/>
        </w:rPr>
        <w:t xml:space="preserve">       </w:t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eastAsia="zh-CN"/>
        </w:rPr>
        <w:t xml:space="preserve">   </w:t>
      </w:r>
      <w:r>
        <w:rPr>
          <w:rFonts w:hint="default" w:ascii="Times New Roman" w:hAnsi="Times New Roman" w:cs="Times New Roman"/>
          <w:color w:val="000000"/>
          <w:sz w:val="24"/>
          <w:szCs w:val="21"/>
          <w:lang w:eastAsia="zh-CN"/>
        </w:rPr>
        <w:t>证券简称：长源电力</w:t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eastAsia="zh-CN"/>
        </w:rPr>
        <w:t xml:space="preserve">     </w:t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val="en-US" w:eastAsia="zh-CN"/>
        </w:rPr>
        <w:t xml:space="preserve">         </w:t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eastAsia="zh-CN"/>
        </w:rPr>
        <w:t xml:space="preserve">   </w:t>
      </w:r>
      <w:r>
        <w:rPr>
          <w:rFonts w:hint="default" w:ascii="Times New Roman" w:hAnsi="Times New Roman" w:cs="Times New Roman"/>
          <w:color w:val="000000"/>
          <w:sz w:val="24"/>
          <w:szCs w:val="21"/>
          <w:lang w:eastAsia="zh-CN"/>
        </w:rPr>
        <w:t>公告编号：202</w:t>
      </w:r>
      <w:r>
        <w:rPr>
          <w:rFonts w:hint="eastAsia" w:ascii="Times New Roman" w:hAnsi="Times New Roman" w:cs="Times New Roman"/>
          <w:color w:val="000000"/>
          <w:sz w:val="24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szCs w:val="21"/>
          <w:lang w:val="en-US" w:eastAsia="zh-CN"/>
        </w:rPr>
        <w:t>-0</w:t>
      </w:r>
      <w:r>
        <w:rPr>
          <w:rFonts w:hint="eastAsia" w:ascii="Times New Roman" w:hAnsi="Times New Roman" w:cs="Times New Roman"/>
          <w:color w:val="000000"/>
          <w:sz w:val="24"/>
          <w:szCs w:val="21"/>
          <w:lang w:val="en-US" w:eastAsia="zh-CN"/>
        </w:rPr>
        <w:t>53</w:t>
      </w:r>
    </w:p>
    <w:p w14:paraId="70D9546B">
      <w:pPr>
        <w:autoSpaceDE w:val="0"/>
        <w:autoSpaceDN w:val="0"/>
        <w:spacing w:after="0" w:line="440" w:lineRule="exact"/>
        <w:contextualSpacing/>
        <w:jc w:val="center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</w:p>
    <w:p w14:paraId="4824AAD1">
      <w:pPr>
        <w:adjustRightInd w:val="0"/>
        <w:snapToGrid w:val="0"/>
        <w:spacing w:after="0" w:line="44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  <w:t>国家能源集团长源电力股份有限公司</w:t>
      </w:r>
    </w:p>
    <w:p w14:paraId="65659799">
      <w:pPr>
        <w:adjustRightInd w:val="0"/>
        <w:snapToGrid w:val="0"/>
        <w:spacing w:after="0" w:line="44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关于“</w:t>
      </w:r>
      <w:r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  <w:t>质量回报双提升</w:t>
      </w:r>
      <w:r>
        <w:rPr>
          <w:rFonts w:hint="eastAsia" w:ascii="Times New Roman" w:hAnsi="Times New Roman" w:eastAsia="方正小标宋简体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  <w:t>行动方案实施进展情况</w:t>
      </w:r>
    </w:p>
    <w:p w14:paraId="1DD01662">
      <w:pPr>
        <w:adjustRightInd w:val="0"/>
        <w:snapToGrid w:val="0"/>
        <w:spacing w:after="0" w:line="44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  <w:t>专项评估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的公告</w:t>
      </w:r>
    </w:p>
    <w:p w14:paraId="2A203BF0">
      <w:pPr>
        <w:adjustRightInd w:val="0"/>
        <w:snapToGrid w:val="0"/>
        <w:spacing w:after="0" w:line="44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</w:p>
    <w:tbl>
      <w:tblPr>
        <w:tblStyle w:val="12"/>
        <w:tblW w:w="86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0"/>
      </w:tblGrid>
      <w:tr w14:paraId="59A6F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10" w:type="dxa"/>
          </w:tcPr>
          <w:p w14:paraId="4ED0F59F">
            <w:pPr>
              <w:autoSpaceDE w:val="0"/>
              <w:autoSpaceDN w:val="0"/>
              <w:adjustRightInd w:val="0"/>
              <w:snapToGrid w:val="0"/>
              <w:spacing w:line="380" w:lineRule="exact"/>
              <w:ind w:right="-194" w:rightChars="-88" w:firstLine="480" w:firstLineChars="200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  <w:lang w:eastAsia="zh-CN"/>
              </w:rPr>
              <w:t>本公司及董事会全体成员保证信息披露的内容真实、准确、完整，没有虚假记载、误导性陈述或重大遗漏。</w:t>
            </w:r>
          </w:p>
        </w:tc>
      </w:tr>
    </w:tbl>
    <w:p w14:paraId="553B7541">
      <w:pPr>
        <w:spacing w:line="380" w:lineRule="exact"/>
        <w:contextualSpacing/>
        <w:rPr>
          <w:rFonts w:hint="default" w:ascii="Times New Roman" w:hAnsi="Times New Roman" w:cs="Times New Roman"/>
          <w:b/>
          <w:sz w:val="24"/>
          <w:lang w:eastAsia="zh-CN"/>
        </w:rPr>
      </w:pPr>
    </w:p>
    <w:p w14:paraId="7C3D0F37">
      <w:pPr>
        <w:widowControl/>
        <w:spacing w:after="0" w:line="400" w:lineRule="exact"/>
        <w:ind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为贯彻落实深圳证券交易所“质量回报双提升”专项行动要求，积极维护公司全体股东利益，增强投资者信心，提高公司质量和投资价值，经公司第十届董事会第三十一次会议审议通过，公司于2025年3月制定了“质量回报双提升”行动方案并完成了信息披露。根据深圳证券交易所《关于深入开展深市公司“质量回报双提升”专项行动的倡议》的相关工作要求，公司应当在年报、半年报披露时对实施进展进行专项评估，作为单独议案提交董事会审议并披露。公司2026年上半年“质量回报双提升”行动方案实施进展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情况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专项评估如下：</w:t>
      </w:r>
    </w:p>
    <w:p w14:paraId="307FC323">
      <w:pPr>
        <w:widowControl/>
        <w:spacing w:after="0" w:line="380" w:lineRule="exact"/>
        <w:ind w:firstLine="482" w:firstLineChars="200"/>
        <w:jc w:val="both"/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fldChar w:fldCharType="begin"/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instrText xml:space="preserve"> DOCVARIABLE 附注一级 \* MERGEFORMAT </w:instrText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fldChar w:fldCharType="separate"/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t>一、</w:t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fldChar w:fldCharType="end"/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t>聚焦主责主业，高质量发展取得积极进展</w:t>
      </w:r>
    </w:p>
    <w:p w14:paraId="23355CC8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公司积极应对挑战，保持战略定力，紧扣高质量发展主题，围绕主责主业，坚定不移推动公司做强做优做大。截至2026年6月底，公司可控装机容量1360.25万千瓦，其中火电1031万千瓦，水电57.37万千瓦，光伏243.32万千瓦，风电26.4万千瓦，生物质2.16万千瓦。公司装机容量占湖北全省发电装机容量14270.53万千瓦（含三峡2240万千瓦）的9.53%，公司火电装机容量占湖北全省火电装机容量4599.04万千瓦的22.42%。2026年上半年，公司新增优质煤电装机100万千瓦，加快优质风电项目落地实施，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4"/>
          <w:szCs w:val="24"/>
        </w:rPr>
        <w:t>进一步优化新能源装机结构。完成发电量169.28亿千瓦时，同比增长1.28%。其中，火电发电量同比增长1.12%；水电发电量同比增长67.28%；风电发电量同比增长5.79%；光伏发电量同比降低26.99%。实现营业收入68.59亿元，同比增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长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3.70%，实现归属上市公司股东的净利润1.73亿元，同比增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长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82.39%。</w:t>
      </w:r>
    </w:p>
    <w:p w14:paraId="187DF8CE">
      <w:pPr>
        <w:widowControl/>
        <w:spacing w:after="0" w:line="380" w:lineRule="exact"/>
        <w:ind w:firstLine="482" w:firstLineChars="200"/>
        <w:jc w:val="both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、强化公司治理，提升规范运作水平</w:t>
      </w:r>
    </w:p>
    <w:p w14:paraId="0F4BEA83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2026年上半年，公司认真按照《公司法》《证券法》以及中国证监会、深圳证券交易所有关行政法规和部门规章的要求，不断完善法人治理结构，健全内部控制体系，促进公司规范运作，提高治理水平。扎实推进董事会建设，严格规范会议召开、会议记录及董事会专门委员会运行，强化“三会管理系统”运用，规范审核流程，提高审核效率。更换1名独立董事。公司独立董事严格按照证券监管规定，保持独立，认真履职，召开独立董事专门会议1次，审计与风险委员会会议3次，战略（ESG）委员会会议2次，薪酬与考核委员会会议2次，提名委员会会议1次，充分发挥了独立董事“参与决策、监督制衡、专业咨询”作用，有力维护了公司整体利益，保护了中小股东合法权益。</w:t>
      </w:r>
    </w:p>
    <w:p w14:paraId="5021E0F0">
      <w:pPr>
        <w:widowControl/>
        <w:spacing w:after="0" w:line="380" w:lineRule="exact"/>
        <w:ind w:firstLine="482" w:firstLineChars="200"/>
        <w:jc w:val="both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、提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高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信息披露质量，强化投资者关系管理</w:t>
      </w:r>
    </w:p>
    <w:p w14:paraId="0C8E54FC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公司严格按照法律法规、中国证监会及深圳证券交易所相关要求，及时履行信息披露义务，不断提高信息披露质量和透明度。2026年上半年，共披露各项公告40条。高度重视与资本市场的沟通，建立健全多元化的投资者沟通机制，通过业绩说明会、电话热线、互动易问答、接待来访等方式保持与投资者的沟通交流。2026年5月15日，成功举办2025年度业绩说明会，7月9日参加湖北辖区上市公司2026年投资者网上集体接待日活动，与投资者进行充分沟通。电话接待投资者120多人次，深交所互动易回答提问68个，积极维护公司良好的资本市场形象，增进了长源电力的市场认同和价值实现。</w:t>
      </w:r>
    </w:p>
    <w:p w14:paraId="79CD5449">
      <w:pPr>
        <w:widowControl/>
        <w:spacing w:after="0" w:line="380" w:lineRule="exact"/>
        <w:ind w:firstLine="482" w:firstLineChars="200"/>
        <w:jc w:val="both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>四、以ESG为驱动，助力公司高质量发展</w:t>
      </w:r>
    </w:p>
    <w:p w14:paraId="484D408A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公司立足能源电力行业特点和自身实际，不断把ESG理念与公司经营管理相融合。2026年上半年，公司编制并披露2025年度ESG报告，报告全面采用“四支柱框架，系统披露经济绩效、治理绩效、环境绩效和社会绩效四个维度的关键业绩指标150多个，报告首次获得中国企业社会责任报告评级专家委员会五星级（卓越）评价。参与中央企业上市公司环境、社会及治理（ESG）问卷调查和国家绿色基金2025年项目ESG指标收集，持续挖掘公司社会责任和ESG管理特色，充分展现公司在履行社会责任方面的实践和成效。</w:t>
      </w:r>
    </w:p>
    <w:p w14:paraId="1FC93F36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展望未来，公司将牢固树立以投资者为本的理念和积极回报股东的意识，聚焦主责主业，强化公司治理和规范运作，不断提高上市公司质量和投资价值，将“质量回报双提升”行动方案落实到位，为增强市场信心、促进资本市场稳健发展贡献力量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。</w:t>
      </w:r>
    </w:p>
    <w:p w14:paraId="5269FE0B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</w:pPr>
    </w:p>
    <w:p w14:paraId="1E48E80E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  <w:t>特此公告。</w:t>
      </w:r>
    </w:p>
    <w:p w14:paraId="1E2185A6">
      <w:pPr>
        <w:spacing w:beforeLines="0" w:after="0" w:line="380" w:lineRule="exact"/>
        <w:contextualSpacing/>
        <w:jc w:val="right"/>
        <w:rPr>
          <w:rFonts w:hint="default" w:ascii="Times New Roman" w:hAnsi="Times New Roman" w:cs="Times New Roman"/>
          <w:sz w:val="24"/>
          <w:lang w:eastAsia="zh-CN"/>
        </w:rPr>
      </w:pPr>
    </w:p>
    <w:p w14:paraId="7037229D">
      <w:pPr>
        <w:spacing w:beforeLines="0" w:after="0" w:line="380" w:lineRule="exact"/>
        <w:contextualSpacing/>
        <w:jc w:val="right"/>
        <w:rPr>
          <w:rFonts w:hint="default" w:ascii="Times New Roman" w:hAnsi="Times New Roman" w:cs="Times New Roman"/>
          <w:sz w:val="24"/>
          <w:lang w:eastAsia="zh-CN"/>
        </w:rPr>
      </w:pPr>
      <w:r>
        <w:rPr>
          <w:rFonts w:hint="default" w:ascii="Times New Roman" w:hAnsi="Times New Roman" w:cs="Times New Roman"/>
          <w:sz w:val="24"/>
          <w:lang w:eastAsia="zh-CN"/>
        </w:rPr>
        <w:t>国家能源集团长源电力股份有限公司董事会</w:t>
      </w:r>
    </w:p>
    <w:p w14:paraId="16E06D9E">
      <w:pPr>
        <w:widowControl/>
        <w:spacing w:beforeLines="0" w:after="0" w:line="380" w:lineRule="exact"/>
        <w:ind w:firstLine="5040" w:firstLineChars="2100"/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202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年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月2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日</w:t>
      </w:r>
    </w:p>
    <w:p w14:paraId="7EB133EA">
      <w:pPr>
        <w:rPr>
          <w:rFonts w:hint="default"/>
          <w:lang w:eastAsia="zh-CN"/>
        </w:rPr>
      </w:pPr>
    </w:p>
    <w:p w14:paraId="1A9721AE">
      <w:pPr>
        <w:rPr>
          <w:rFonts w:hint="default" w:ascii="Times New Roman" w:hAnsi="Times New Roman" w:cs="Times New Roman"/>
        </w:rPr>
      </w:pPr>
    </w:p>
    <w:sectPr>
      <w:footerReference r:id="rId5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30087316"/>
    </w:sdtPr>
    <w:sdtEndPr>
      <w:rPr>
        <w:rFonts w:ascii="宋体" w:hAnsi="宋体" w:eastAsia="宋体" w:cs="Times New Roman"/>
        <w:sz w:val="21"/>
        <w:szCs w:val="21"/>
      </w:rPr>
    </w:sdtEndPr>
    <w:sdtContent>
      <w:p w14:paraId="33BF86B7">
        <w:pPr>
          <w:pStyle w:val="9"/>
          <w:jc w:val="center"/>
          <w:rPr>
            <w:rFonts w:ascii="宋体" w:hAnsi="宋体" w:eastAsia="宋体" w:cs="Times New Roman"/>
            <w:sz w:val="21"/>
            <w:szCs w:val="21"/>
          </w:rPr>
        </w:pPr>
        <w:r>
          <w:rPr>
            <w:rFonts w:ascii="宋体" w:hAnsi="宋体" w:eastAsia="宋体" w:cs="Times New Roman"/>
            <w:sz w:val="21"/>
            <w:szCs w:val="21"/>
          </w:rPr>
          <w:fldChar w:fldCharType="begin"/>
        </w:r>
        <w:r>
          <w:rPr>
            <w:rFonts w:ascii="宋体" w:hAnsi="宋体" w:eastAsia="宋体" w:cs="Times New Roman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 w:cs="Times New Roman"/>
            <w:sz w:val="21"/>
            <w:szCs w:val="21"/>
          </w:rPr>
          <w:fldChar w:fldCharType="separate"/>
        </w:r>
        <w:r>
          <w:rPr>
            <w:rFonts w:ascii="宋体" w:hAnsi="宋体" w:eastAsia="宋体" w:cs="Times New Roman"/>
            <w:sz w:val="21"/>
            <w:szCs w:val="21"/>
            <w:lang w:val="zh-CN"/>
          </w:rPr>
          <w:t>2</w:t>
        </w:r>
        <w:r>
          <w:rPr>
            <w:rFonts w:ascii="宋体" w:hAnsi="宋体" w:eastAsia="宋体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19B"/>
    <w:rsid w:val="00010584"/>
    <w:rsid w:val="00022527"/>
    <w:rsid w:val="00022842"/>
    <w:rsid w:val="000376CB"/>
    <w:rsid w:val="000A546B"/>
    <w:rsid w:val="000D0A66"/>
    <w:rsid w:val="000D735B"/>
    <w:rsid w:val="000F1145"/>
    <w:rsid w:val="00151EB7"/>
    <w:rsid w:val="001A7350"/>
    <w:rsid w:val="001B7B3D"/>
    <w:rsid w:val="001F0C4D"/>
    <w:rsid w:val="0022476A"/>
    <w:rsid w:val="00235271"/>
    <w:rsid w:val="002537C4"/>
    <w:rsid w:val="002632FB"/>
    <w:rsid w:val="00284CDF"/>
    <w:rsid w:val="002901FC"/>
    <w:rsid w:val="002B2236"/>
    <w:rsid w:val="002C5487"/>
    <w:rsid w:val="002E4F7C"/>
    <w:rsid w:val="002F0F85"/>
    <w:rsid w:val="00307E20"/>
    <w:rsid w:val="003162CF"/>
    <w:rsid w:val="00352AD3"/>
    <w:rsid w:val="00390C52"/>
    <w:rsid w:val="003E4190"/>
    <w:rsid w:val="003E4A6B"/>
    <w:rsid w:val="0040185E"/>
    <w:rsid w:val="00402357"/>
    <w:rsid w:val="00410820"/>
    <w:rsid w:val="004161A8"/>
    <w:rsid w:val="004B6326"/>
    <w:rsid w:val="004C670C"/>
    <w:rsid w:val="004F3B76"/>
    <w:rsid w:val="004F7864"/>
    <w:rsid w:val="00505BD0"/>
    <w:rsid w:val="005477E1"/>
    <w:rsid w:val="00561A93"/>
    <w:rsid w:val="005D35F8"/>
    <w:rsid w:val="005D3757"/>
    <w:rsid w:val="005D6D13"/>
    <w:rsid w:val="005E048B"/>
    <w:rsid w:val="005F405C"/>
    <w:rsid w:val="005F503C"/>
    <w:rsid w:val="006044DA"/>
    <w:rsid w:val="006102B4"/>
    <w:rsid w:val="0062397F"/>
    <w:rsid w:val="00664F9B"/>
    <w:rsid w:val="006813A4"/>
    <w:rsid w:val="006860C0"/>
    <w:rsid w:val="00691252"/>
    <w:rsid w:val="006A485C"/>
    <w:rsid w:val="006A4FF8"/>
    <w:rsid w:val="006D524C"/>
    <w:rsid w:val="006F468C"/>
    <w:rsid w:val="00704994"/>
    <w:rsid w:val="007049A0"/>
    <w:rsid w:val="00704A6C"/>
    <w:rsid w:val="00704FC5"/>
    <w:rsid w:val="00705B79"/>
    <w:rsid w:val="007247DD"/>
    <w:rsid w:val="007675B5"/>
    <w:rsid w:val="00770987"/>
    <w:rsid w:val="007760FE"/>
    <w:rsid w:val="007824D9"/>
    <w:rsid w:val="0078585A"/>
    <w:rsid w:val="00790B2D"/>
    <w:rsid w:val="007E0596"/>
    <w:rsid w:val="008001F7"/>
    <w:rsid w:val="00815B2E"/>
    <w:rsid w:val="008268D9"/>
    <w:rsid w:val="00833FBE"/>
    <w:rsid w:val="008473BC"/>
    <w:rsid w:val="00850E21"/>
    <w:rsid w:val="0088147A"/>
    <w:rsid w:val="00885399"/>
    <w:rsid w:val="00887E55"/>
    <w:rsid w:val="00895178"/>
    <w:rsid w:val="008C1DF9"/>
    <w:rsid w:val="008E07E3"/>
    <w:rsid w:val="008E63AD"/>
    <w:rsid w:val="008E7014"/>
    <w:rsid w:val="008F1E43"/>
    <w:rsid w:val="008F424E"/>
    <w:rsid w:val="008F5FEB"/>
    <w:rsid w:val="00921A75"/>
    <w:rsid w:val="009277DA"/>
    <w:rsid w:val="00950B20"/>
    <w:rsid w:val="00953D36"/>
    <w:rsid w:val="00982434"/>
    <w:rsid w:val="009918B1"/>
    <w:rsid w:val="009D021C"/>
    <w:rsid w:val="009E3D16"/>
    <w:rsid w:val="009F150A"/>
    <w:rsid w:val="009F26E9"/>
    <w:rsid w:val="009F51AB"/>
    <w:rsid w:val="00A040B6"/>
    <w:rsid w:val="00A260EC"/>
    <w:rsid w:val="00A32176"/>
    <w:rsid w:val="00A45CBE"/>
    <w:rsid w:val="00A50E96"/>
    <w:rsid w:val="00A92B96"/>
    <w:rsid w:val="00B016AE"/>
    <w:rsid w:val="00B27B52"/>
    <w:rsid w:val="00B3502C"/>
    <w:rsid w:val="00B471A8"/>
    <w:rsid w:val="00B61289"/>
    <w:rsid w:val="00B61ECD"/>
    <w:rsid w:val="00B74E2D"/>
    <w:rsid w:val="00B75028"/>
    <w:rsid w:val="00BA51BC"/>
    <w:rsid w:val="00BC0BEC"/>
    <w:rsid w:val="00BC44AC"/>
    <w:rsid w:val="00BD6E24"/>
    <w:rsid w:val="00BE2C4E"/>
    <w:rsid w:val="00C108E8"/>
    <w:rsid w:val="00C400CB"/>
    <w:rsid w:val="00C564E0"/>
    <w:rsid w:val="00C733C1"/>
    <w:rsid w:val="00C77889"/>
    <w:rsid w:val="00C82C8F"/>
    <w:rsid w:val="00C91AA6"/>
    <w:rsid w:val="00CD2BD5"/>
    <w:rsid w:val="00CD7AE6"/>
    <w:rsid w:val="00CE0262"/>
    <w:rsid w:val="00CE0A0D"/>
    <w:rsid w:val="00CF3839"/>
    <w:rsid w:val="00D34585"/>
    <w:rsid w:val="00D53021"/>
    <w:rsid w:val="00DD0727"/>
    <w:rsid w:val="00E122EC"/>
    <w:rsid w:val="00E47526"/>
    <w:rsid w:val="00E61507"/>
    <w:rsid w:val="00E620D2"/>
    <w:rsid w:val="00E64857"/>
    <w:rsid w:val="00E77A6C"/>
    <w:rsid w:val="00E92C1D"/>
    <w:rsid w:val="00EC295D"/>
    <w:rsid w:val="00EC29A8"/>
    <w:rsid w:val="00EE0EEB"/>
    <w:rsid w:val="00F06534"/>
    <w:rsid w:val="00F12711"/>
    <w:rsid w:val="00F17D0B"/>
    <w:rsid w:val="00F3019B"/>
    <w:rsid w:val="00F347E9"/>
    <w:rsid w:val="00F41A71"/>
    <w:rsid w:val="00F42485"/>
    <w:rsid w:val="00F55EE2"/>
    <w:rsid w:val="00F5782A"/>
    <w:rsid w:val="00F76611"/>
    <w:rsid w:val="00FC467E"/>
    <w:rsid w:val="00FE1E09"/>
    <w:rsid w:val="08A60726"/>
    <w:rsid w:val="0A6F0772"/>
    <w:rsid w:val="0A967909"/>
    <w:rsid w:val="0A9D03F6"/>
    <w:rsid w:val="0CC8381A"/>
    <w:rsid w:val="0E0C6DFB"/>
    <w:rsid w:val="0F7846D6"/>
    <w:rsid w:val="10912632"/>
    <w:rsid w:val="11535599"/>
    <w:rsid w:val="12A86CCC"/>
    <w:rsid w:val="13D00972"/>
    <w:rsid w:val="197A5773"/>
    <w:rsid w:val="228727F7"/>
    <w:rsid w:val="29055596"/>
    <w:rsid w:val="2AC563B9"/>
    <w:rsid w:val="2BAE5355"/>
    <w:rsid w:val="31A57720"/>
    <w:rsid w:val="337978D0"/>
    <w:rsid w:val="33FD4142"/>
    <w:rsid w:val="35196623"/>
    <w:rsid w:val="361E2979"/>
    <w:rsid w:val="3D127B62"/>
    <w:rsid w:val="412D7255"/>
    <w:rsid w:val="41687867"/>
    <w:rsid w:val="472B4C71"/>
    <w:rsid w:val="47650B90"/>
    <w:rsid w:val="4A8E2781"/>
    <w:rsid w:val="4B9068B1"/>
    <w:rsid w:val="55F37C2F"/>
    <w:rsid w:val="578819FC"/>
    <w:rsid w:val="5921361B"/>
    <w:rsid w:val="5D893E01"/>
    <w:rsid w:val="5DBB6A1A"/>
    <w:rsid w:val="6C1A4F74"/>
    <w:rsid w:val="6E646C62"/>
    <w:rsid w:val="738F3DC3"/>
    <w:rsid w:val="79D123ED"/>
    <w:rsid w:val="7AA0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spacing w:after="160" w:line="278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7"/>
    <w:qFormat/>
    <w:uiPriority w:val="1"/>
    <w:pPr>
      <w:ind w:left="600"/>
      <w:outlineLvl w:val="0"/>
    </w:pPr>
    <w:rPr>
      <w:rFonts w:ascii="宋体" w:hAnsi="宋体" w:eastAsia="宋体"/>
      <w:b/>
      <w:bCs/>
      <w:sz w:val="26"/>
      <w:szCs w:val="26"/>
    </w:rPr>
  </w:style>
  <w:style w:type="paragraph" w:styleId="2">
    <w:name w:val="heading 3"/>
    <w:basedOn w:val="1"/>
    <w:next w:val="1"/>
    <w:qFormat/>
    <w:uiPriority w:val="0"/>
    <w:pPr>
      <w:keepNext/>
      <w:keepLines/>
      <w:snapToGrid w:val="0"/>
      <w:spacing w:line="560" w:lineRule="exact"/>
      <w:ind w:firstLine="200" w:firstLineChars="200"/>
      <w:outlineLvl w:val="2"/>
    </w:pPr>
    <w:rPr>
      <w:b/>
      <w:sz w:val="30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qFormat/>
    <w:uiPriority w:val="0"/>
    <w:pPr>
      <w:ind w:left="1400" w:leftChars="1400"/>
    </w:pPr>
  </w:style>
  <w:style w:type="paragraph" w:styleId="5">
    <w:name w:val="Normal Indent"/>
    <w:basedOn w:val="1"/>
    <w:semiHidden/>
    <w:unhideWhenUsed/>
    <w:qFormat/>
    <w:uiPriority w:val="99"/>
    <w:pPr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eastAsia="zh-CN"/>
    </w:rPr>
  </w:style>
  <w:style w:type="paragraph" w:styleId="6">
    <w:name w:val="annotation text"/>
    <w:basedOn w:val="1"/>
    <w:link w:val="20"/>
    <w:semiHidden/>
    <w:unhideWhenUsed/>
    <w:qFormat/>
    <w:uiPriority w:val="99"/>
  </w:style>
  <w:style w:type="paragraph" w:styleId="7">
    <w:name w:val="Body Text"/>
    <w:basedOn w:val="1"/>
    <w:link w:val="18"/>
    <w:qFormat/>
    <w:uiPriority w:val="1"/>
    <w:pPr>
      <w:ind w:left="600"/>
    </w:pPr>
    <w:rPr>
      <w:rFonts w:ascii="宋体" w:hAnsi="宋体" w:eastAsia="宋体"/>
      <w:sz w:val="24"/>
      <w:szCs w:val="24"/>
    </w:rPr>
  </w:style>
  <w:style w:type="paragraph" w:styleId="8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paragraph" w:styleId="10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paragraph" w:styleId="11">
    <w:name w:val="Title"/>
    <w:basedOn w:val="3"/>
    <w:next w:val="1"/>
    <w:link w:val="22"/>
    <w:qFormat/>
    <w:uiPriority w:val="0"/>
    <w:pPr>
      <w:spacing w:line="560" w:lineRule="exact"/>
      <w:ind w:left="0"/>
      <w:jc w:val="center"/>
    </w:pPr>
    <w:rPr>
      <w:rFonts w:ascii="方正小标宋简体" w:hAnsi="方正小标宋简体" w:eastAsia="方正小标宋简体" w:cs="方正小标宋简体"/>
      <w:b w:val="0"/>
      <w:bCs w:val="0"/>
      <w:kern w:val="2"/>
      <w:sz w:val="40"/>
      <w:szCs w:val="32"/>
      <w:lang w:eastAsia="zh-CN"/>
    </w:r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3"/>
    <w:link w:val="10"/>
    <w:qFormat/>
    <w:uiPriority w:val="99"/>
    <w:rPr>
      <w:sz w:val="18"/>
      <w:szCs w:val="18"/>
    </w:rPr>
  </w:style>
  <w:style w:type="character" w:customStyle="1" w:styleId="16">
    <w:name w:val="页脚 字符"/>
    <w:basedOn w:val="13"/>
    <w:link w:val="9"/>
    <w:qFormat/>
    <w:uiPriority w:val="99"/>
    <w:rPr>
      <w:sz w:val="18"/>
      <w:szCs w:val="18"/>
    </w:rPr>
  </w:style>
  <w:style w:type="character" w:customStyle="1" w:styleId="17">
    <w:name w:val="标题 1 字符"/>
    <w:basedOn w:val="13"/>
    <w:link w:val="3"/>
    <w:qFormat/>
    <w:uiPriority w:val="1"/>
    <w:rPr>
      <w:rFonts w:ascii="宋体" w:hAnsi="宋体" w:eastAsia="宋体"/>
      <w:b/>
      <w:bCs/>
      <w:kern w:val="0"/>
      <w:sz w:val="26"/>
      <w:szCs w:val="26"/>
      <w:lang w:eastAsia="en-US"/>
    </w:rPr>
  </w:style>
  <w:style w:type="character" w:customStyle="1" w:styleId="18">
    <w:name w:val="正文文本 字符"/>
    <w:basedOn w:val="13"/>
    <w:link w:val="7"/>
    <w:qFormat/>
    <w:uiPriority w:val="1"/>
    <w:rPr>
      <w:rFonts w:ascii="宋体" w:hAnsi="宋体" w:eastAsia="宋体"/>
      <w:kern w:val="0"/>
      <w:sz w:val="24"/>
      <w:szCs w:val="24"/>
      <w:lang w:eastAsia="en-US"/>
    </w:rPr>
  </w:style>
  <w:style w:type="character" w:customStyle="1" w:styleId="19">
    <w:name w:val="批注框文本 字符"/>
    <w:basedOn w:val="13"/>
    <w:link w:val="8"/>
    <w:semiHidden/>
    <w:qFormat/>
    <w:uiPriority w:val="99"/>
    <w:rPr>
      <w:kern w:val="0"/>
      <w:sz w:val="18"/>
      <w:szCs w:val="18"/>
      <w:lang w:eastAsia="en-US"/>
    </w:rPr>
  </w:style>
  <w:style w:type="character" w:customStyle="1" w:styleId="20">
    <w:name w:val="批注文字 字符"/>
    <w:basedOn w:val="13"/>
    <w:link w:val="6"/>
    <w:semiHidden/>
    <w:qFormat/>
    <w:uiPriority w:val="99"/>
    <w:rPr>
      <w:kern w:val="0"/>
      <w:sz w:val="22"/>
      <w:lang w:eastAsia="en-US"/>
    </w:rPr>
  </w:style>
  <w:style w:type="paragraph" w:customStyle="1" w:styleId="21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22">
    <w:name w:val="标题 字符"/>
    <w:basedOn w:val="13"/>
    <w:link w:val="11"/>
    <w:qFormat/>
    <w:uiPriority w:val="0"/>
    <w:rPr>
      <w:rFonts w:ascii="方正小标宋简体" w:hAnsi="方正小标宋简体" w:eastAsia="方正小标宋简体" w:cs="方正小标宋简体"/>
      <w:sz w:val="40"/>
      <w:szCs w:val="32"/>
    </w:rPr>
  </w:style>
  <w:style w:type="character" w:customStyle="1" w:styleId="23">
    <w:name w:val="附注二级正文 Char"/>
    <w:link w:val="24"/>
    <w:qFormat/>
    <w:locked/>
    <w:uiPriority w:val="0"/>
    <w:rPr>
      <w:rFonts w:ascii="宋体" w:hAnsi="宋体" w:eastAsia="宋体" w:cs="Times New Roman"/>
      <w:szCs w:val="24"/>
    </w:rPr>
  </w:style>
  <w:style w:type="paragraph" w:customStyle="1" w:styleId="24">
    <w:name w:val="附注二级正文"/>
    <w:basedOn w:val="1"/>
    <w:link w:val="23"/>
    <w:qFormat/>
    <w:uiPriority w:val="0"/>
    <w:pPr>
      <w:adjustRightInd w:val="0"/>
      <w:snapToGrid w:val="0"/>
      <w:spacing w:line="400" w:lineRule="atLeast"/>
      <w:ind w:left="718" w:leftChars="342"/>
      <w:jc w:val="both"/>
    </w:pPr>
    <w:rPr>
      <w:rFonts w:ascii="宋体" w:hAnsi="宋体" w:eastAsia="宋体" w:cs="Times New Roman"/>
      <w:kern w:val="2"/>
      <w:sz w:val="21"/>
      <w:szCs w:val="24"/>
      <w:lang w:eastAsia="zh-CN"/>
    </w:rPr>
  </w:style>
  <w:style w:type="character" w:customStyle="1" w:styleId="25">
    <w:name w:val="附注一级 Char"/>
    <w:link w:val="26"/>
    <w:qFormat/>
    <w:locked/>
    <w:uiPriority w:val="0"/>
    <w:rPr>
      <w:rFonts w:ascii="宋体" w:hAnsi="宋体" w:eastAsia="宋体" w:cs="Times New Roman"/>
      <w:b/>
      <w:szCs w:val="21"/>
      <w:lang w:val="zh-CN"/>
    </w:rPr>
  </w:style>
  <w:style w:type="paragraph" w:customStyle="1" w:styleId="26">
    <w:name w:val="附注一级"/>
    <w:basedOn w:val="1"/>
    <w:link w:val="25"/>
    <w:qFormat/>
    <w:uiPriority w:val="0"/>
    <w:pPr>
      <w:tabs>
        <w:tab w:val="left" w:pos="714"/>
      </w:tabs>
      <w:adjustRightInd w:val="0"/>
      <w:snapToGrid w:val="0"/>
      <w:spacing w:line="400" w:lineRule="atLeast"/>
      <w:jc w:val="both"/>
      <w:outlineLvl w:val="0"/>
    </w:pPr>
    <w:rPr>
      <w:rFonts w:ascii="宋体" w:hAnsi="宋体" w:eastAsia="宋体" w:cs="Times New Roman"/>
      <w:b/>
      <w:kern w:val="2"/>
      <w:sz w:val="21"/>
      <w:szCs w:val="21"/>
      <w:lang w:val="zh-CN" w:eastAsia="zh-CN"/>
    </w:rPr>
  </w:style>
  <w:style w:type="paragraph" w:customStyle="1" w:styleId="27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28">
    <w:name w:val="font21"/>
    <w:basedOn w:val="1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29">
    <w:name w:val="font3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0">
    <w:name w:val="font41"/>
    <w:basedOn w:val="13"/>
    <w:qFormat/>
    <w:uiPriority w:val="0"/>
    <w:rPr>
      <w:rFonts w:hint="default" w:ascii="Arial" w:hAnsi="Arial" w:cs="Arial"/>
      <w:color w:val="FF0000"/>
      <w:sz w:val="20"/>
      <w:szCs w:val="20"/>
      <w:u w:val="none"/>
    </w:rPr>
  </w:style>
  <w:style w:type="character" w:customStyle="1" w:styleId="31">
    <w:name w:val="font61"/>
    <w:basedOn w:val="13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589</Words>
  <Characters>3359</Characters>
  <Lines>27</Lines>
  <Paragraphs>7</Paragraphs>
  <TotalTime>15</TotalTime>
  <ScaleCrop>false</ScaleCrop>
  <LinksUpToDate>false</LinksUpToDate>
  <CharactersWithSpaces>3941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2016-12-24T16:02:00Z</dcterms:created>
  <dc:creator>朱正忠</dc:creator>
  <cp:lastModifiedBy>叶建兵</cp:lastModifiedBy>
  <dcterms:modified xsi:type="dcterms:W3CDTF">2026-08-19T07:57:07Z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0A7A569386964F078F9D5857B86EF469</vt:lpwstr>
  </property>
</Properties>
</file>